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新建高性能计算机集群需求及建议方案征集表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47"/>
        <w:gridCol w:w="1845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姓名：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研究方向：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计算资源需求(硬件算力与软件配套等)：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可以附件形式提交，如没有可填写“无”</w:t>
            </w:r>
          </w:p>
        </w:tc>
        <w:tc>
          <w:tcPr>
            <w:tcW w:w="70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建议方案(含硬件建设与管理服务方案)：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可以附件形式提交，如没有可填写“无”</w:t>
            </w:r>
          </w:p>
        </w:tc>
        <w:tc>
          <w:tcPr>
            <w:tcW w:w="70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E6C88"/>
    <w:rsid w:val="1AEE6BE0"/>
    <w:rsid w:val="37AC5F4E"/>
    <w:rsid w:val="3B95075B"/>
    <w:rsid w:val="49596C48"/>
    <w:rsid w:val="5F9450EB"/>
    <w:rsid w:val="730D2C69"/>
    <w:rsid w:val="7972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Julia</cp:lastModifiedBy>
  <dcterms:modified xsi:type="dcterms:W3CDTF">2021-05-07T06:06:43Z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718890143_btnclosed</vt:lpwstr>
  </property>
  <property fmtid="{D5CDD505-2E9C-101B-9397-08002B2CF9AE}" pid="4" name="ICV">
    <vt:lpwstr>71E799BA2D5F4C33AB1E033952A75A42</vt:lpwstr>
  </property>
</Properties>
</file>